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19" w:rsidRPr="00637419" w:rsidRDefault="00637419" w:rsidP="00637419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7"/>
          <w:szCs w:val="27"/>
          <w:lang w:val="pl-PL" w:eastAsia="pl-PL"/>
        </w:rPr>
      </w:pPr>
      <w:r w:rsidRPr="00637419">
        <w:rPr>
          <w:rFonts w:ascii="Arial CE" w:eastAsia="Times New Roman" w:hAnsi="Arial CE" w:cs="Arial CE"/>
          <w:b/>
          <w:bCs/>
          <w:sz w:val="27"/>
          <w:szCs w:val="27"/>
          <w:lang w:val="pl-PL" w:eastAsia="pl-PL"/>
        </w:rPr>
        <w:t>ROZPORZĄDZENIE</w:t>
      </w:r>
      <w:r w:rsidRPr="00637419">
        <w:rPr>
          <w:rFonts w:ascii="Arial CE" w:eastAsia="Times New Roman" w:hAnsi="Arial CE" w:cs="Arial CE"/>
          <w:b/>
          <w:bCs/>
          <w:sz w:val="27"/>
          <w:szCs w:val="27"/>
          <w:lang w:val="pl-PL" w:eastAsia="pl-PL"/>
        </w:rPr>
        <w:br/>
        <w:t>MINISTRA ZDROWIA</w:t>
      </w:r>
    </w:p>
    <w:p w:rsidR="00637419" w:rsidRPr="00637419" w:rsidRDefault="00637419" w:rsidP="00637419">
      <w:pPr>
        <w:spacing w:before="100" w:beforeAutospacing="1" w:after="0" w:line="240" w:lineRule="auto"/>
        <w:jc w:val="center"/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z dnia 26 sierpnia 2014 r.</w:t>
      </w:r>
    </w:p>
    <w:p w:rsidR="00637419" w:rsidRPr="00637419" w:rsidRDefault="00637419" w:rsidP="00637419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3"/>
          <w:szCs w:val="23"/>
          <w:lang w:val="pl-PL" w:eastAsia="pl-PL"/>
        </w:rPr>
      </w:pPr>
      <w:hyperlink r:id="rId4" w:tgtFrame="ostatnia" w:history="1">
        <w:r w:rsidRPr="00637419">
          <w:rPr>
            <w:rFonts w:ascii="Arial CE" w:eastAsia="Times New Roman" w:hAnsi="Arial CE" w:cs="Arial CE"/>
            <w:b/>
            <w:bCs/>
            <w:sz w:val="23"/>
            <w:szCs w:val="23"/>
            <w:u w:val="single"/>
            <w:lang w:val="pl-PL" w:eastAsia="pl-PL"/>
          </w:rPr>
          <w:t>w sprawie badań lekarskich kandydatów do szkół ponadgimnazjalnych lub wyższych i na kwalifikacyjne kursy zawodowe, uczniów tych szkół, studentów, słuchaczy kwalifikacyjnych kursów zawodowych oraz uczestników studiów doktoranckich</w:t>
        </w:r>
      </w:hyperlink>
    </w:p>
    <w:p w:rsidR="00637419" w:rsidRPr="00637419" w:rsidRDefault="00637419" w:rsidP="00637419">
      <w:pPr>
        <w:spacing w:before="100" w:beforeAutospacing="1" w:after="0" w:line="240" w:lineRule="auto"/>
        <w:jc w:val="center"/>
        <w:rPr>
          <w:rFonts w:ascii="Arial CE" w:eastAsia="Times New Roman" w:hAnsi="Arial CE" w:cs="Arial CE"/>
          <w:sz w:val="17"/>
          <w:szCs w:val="17"/>
          <w:lang w:val="pl-PL" w:eastAsia="pl-PL"/>
        </w:rPr>
      </w:pPr>
      <w:r w:rsidRPr="00637419">
        <w:rPr>
          <w:rFonts w:ascii="Arial CE" w:eastAsia="Times New Roman" w:hAnsi="Arial CE" w:cs="Arial CE"/>
          <w:sz w:val="17"/>
          <w:szCs w:val="17"/>
          <w:lang w:val="pl-PL" w:eastAsia="pl-PL"/>
        </w:rPr>
        <w:t>(Dz. U. poz. 1144)</w:t>
      </w:r>
    </w:p>
    <w:p w:rsidR="00637419" w:rsidRPr="00637419" w:rsidRDefault="00637419" w:rsidP="00637419">
      <w:pPr>
        <w:spacing w:before="150" w:after="150" w:line="240" w:lineRule="auto"/>
        <w:jc w:val="center"/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t>ogłoszono dnia 28 sierpnia 2014 r.</w:t>
      </w:r>
      <w:r w:rsidRPr="00637419">
        <w:rPr>
          <w:rFonts w:ascii="Arial CE" w:eastAsia="Times New Roman" w:hAnsi="Arial CE" w:cs="Arial CE"/>
          <w:b/>
          <w:bCs/>
          <w:sz w:val="20"/>
          <w:szCs w:val="20"/>
          <w:lang w:val="pl-PL" w:eastAsia="pl-PL"/>
        </w:rPr>
        <w:br/>
        <w:t>obowiązuje od dnia 1 września 2014 r.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bookmarkStart w:id="0" w:name="P3396A3"/>
      <w:bookmarkEnd w:id="0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1. Rozporządzenie określa zakres i tryb oraz sposób dokumentowania badań lekarskich: 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1) kandydatów do szkół ponadgimnazjalnych lub wyższych i na kwalifikacyjne kursy zawodowe, uczniów tych szkół, studentów oraz słuchaczy kwalifikacyjnych kursów zawodowych, którzy w trakcie praktycznej nauki zawodu narażeni są na działanie czynników szkodliwych, uciążliwych lub niebezpiecznych dla zdrowia;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2) uczestników studiów doktoranckich, którzy w trakcie studiów są narażeni na działanie czynników szkodliwych, uciążliwych lub niebezpiecznych dla zdrowia.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bookmarkStart w:id="1" w:name="P3396A4"/>
      <w:bookmarkEnd w:id="1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2. Ilekroć w niniejszym rozporządzeniu jest mowa o: 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1) osobach badanych - rozumie się przez nie kandydatów do szkół ponadgimnazjalnych lub wyższych i na kwalifikacyjne kursy zawodowe, uczniów tych szkół, studentów oraz słuchaczy kwalifikacyjnych kursów zawodowych, którzy w trakcie praktycznej nauki zawodu narażeni są na działanie czynników szkodliwych, uciążliwych lub niebezpiecznych dla zdrowia, oraz uczestników studiów doktoranckich, którzy w trakcie studiów są narażeni na działanie czynników szkodliwych, uciążliwych lub niebezpiecznych dla zdrowia;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2) placówkach dydaktycznych - rozumie się przez nie szkołę ponadgimnazjalną, szkołę wyższą, organizatora kwalifikacyjnych kursów zawodowych oraz jednostkę uprawnioną do prowadzenia studiów doktoranckich.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bookmarkStart w:id="2" w:name="P3396A5"/>
      <w:bookmarkEnd w:id="2"/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 xml:space="preserve">§ 3. 1. Lekarz przeprowadza badanie lekarskie na podstawie skierowania wydanego przez placówkę dydaktyczną.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 xml:space="preserve">2. Skierowanie na badanie lekarskie zawiera: 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1) pieczątkę placówki dydaktycznej;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2) imię i nazwisko, datę urodzenia i numer PESEL osoby badanej, a jeżeli nie posiada numeru PESEL - rodzaj, serię i numer dokumentu potwierdzającego tożsamość;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3) informację o kierunku kształcenia oraz o czynnikach szkodliwych, uciążliwych lub niebezpiecznych dla zdrowia, występujących w miejscu odbywania praktycznej nauki zawodu, studiów, kwalifikacyjnych kursów zawodowych albo studiów doktoranckich;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4) datę wystawienia skierowania;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5) pieczątkę i podpis osoby kierującej na badanie lekarskie.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bookmarkStart w:id="3" w:name="P3396A6"/>
      <w:bookmarkEnd w:id="3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4. 1. Lekarz przeprowadza badanie lekarskie z uwzględnieniem: 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1) oceny potencjalnych lub istniejących zagrożeń dla zdrowia, występujących w miejscu odbywania praktycznej nauki zawodu, studiów, kwalifikacyjnych kursów zawodowych albo studiów doktoranckich;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2) zakresu i częstotliwości przeprowadzania badań profilaktycznych pracowników określonych w przepisach wydanych na podstawie art. 229 § 8 ustawy z dnia 26 czerwca 1974 r. - Kodeks pracy</w:t>
      </w:r>
      <w:r w:rsidRPr="00637419">
        <w:rPr>
          <w:rFonts w:ascii="Arial CE" w:eastAsia="Times New Roman" w:hAnsi="Arial CE" w:cs="Arial CE"/>
          <w:vanish/>
          <w:sz w:val="20"/>
          <w:szCs w:val="20"/>
          <w:lang w:val="pl-PL" w:eastAsia="pl-PL"/>
        </w:rPr>
        <w:t xml:space="preserve"> (Dz. U. z 1998 r. Nr 21, poz. 94, z późn. zm.)</w:t>
      </w: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>3) prac wzbronionych młodocianym określonych w przepisach wydanych na podstawie art. 204 § 3 ustawy z dnia 26 czerwca 1974 r. - Kodeks pracy.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2. Po przeprowadzeniu badania lekarskiego lekarz wydaje zaświadczenie lekarskie.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 xml:space="preserve">3. Zaświadczenie lekarskie zawiera: 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1) pieczątkę jednostki służby medycyny pracy przeprowadzającej badanie lekarskie;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2) datę wydania zaświadczenia lekarskiego;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3) imię i nazwisko, datę urodzenia i numer PESEL osoby badanej, a jeżeli nie posiada numeru PESEL - rodzaj, serię i numer dokumentu potwierdzającego tożsamość;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4) kierunek praktycznej nauki zawodu albo kształcenia;</w:t>
      </w:r>
      <w:bookmarkStart w:id="4" w:name="_GoBack"/>
      <w:bookmarkEnd w:id="4"/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lastRenderedPageBreak/>
        <w:t>5) nazwę i adres placówki dydaktycznej, która wydała skierowanie na badania lekarskie;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6) orzeczenie o istnieniu lub braku przeciwwskazań zdrowotnych do wykonywania i pobierania praktycznej nauki zawodu, studiów, kwalifikacyjnych kursów zawodowych albo studiów doktoranckich;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7) podpis i pieczątkę lekarza;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8) datę następnego badania lekarskiego wynikającą z przepisów wydanych na podstawie art. 229 § 8 ustawy z dnia 26 czerwca 1974 r. - Kodeks pracy;</w:t>
      </w:r>
    </w:p>
    <w:p w:rsidR="00637419" w:rsidRPr="00637419" w:rsidRDefault="00637419" w:rsidP="00637419">
      <w:pPr>
        <w:spacing w:after="0" w:line="240" w:lineRule="auto"/>
        <w:ind w:hanging="225"/>
        <w:rPr>
          <w:rFonts w:ascii="Arial CE" w:eastAsia="Times New Roman" w:hAnsi="Arial CE" w:cs="Arial CE"/>
          <w:b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b/>
          <w:sz w:val="20"/>
          <w:szCs w:val="20"/>
          <w:lang w:val="pl-PL" w:eastAsia="pl-PL"/>
        </w:rPr>
        <w:t>9) pouczenie o terminie i sposobie wniesienia odwołania od zaświadczenia lekarskiego.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4. W przypadku stwierdzenia w zaświadczeniu lekarskim istnienia przeciwwskazań zdrowotnych do wykonywania i pobierania praktycznej nauki zawodu, studiów, kwalifikacyjnych kursów zawodowych albo studiów doktoranckich lekarz informuje osobę badaną o przyczynach uzasadniających wydanie takiego zaświadczenia oraz wpisuje uzasadnienie do dokumentacji badania lekarskiego osoby badanej.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5. Zaświadczenie lekarskie wydaje się w dwóch egzemplarzach, z których jeden osoba badana przekazuje </w:t>
      </w:r>
      <w:hyperlink r:id="rId5" w:anchor="P3396A4" w:tgtFrame="ostatnia" w:history="1">
        <w:r w:rsidRPr="00637419">
          <w:rPr>
            <w:rFonts w:ascii="Arial CE" w:eastAsia="Times New Roman" w:hAnsi="Arial CE" w:cs="Arial CE"/>
            <w:sz w:val="20"/>
            <w:szCs w:val="20"/>
            <w:lang w:val="pl-PL" w:eastAsia="pl-PL"/>
          </w:rPr>
          <w:t>placówce dydaktycznej</w:t>
        </w:r>
      </w:hyperlink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, a drugi jest dołączany do dokumentacji badania lekarskiego osoby badanej. W przypadku gdy </w:t>
      </w:r>
      <w:hyperlink r:id="rId6" w:anchor="P3396A4" w:tgtFrame="ostatnia" w:history="1">
        <w:r w:rsidRPr="00637419">
          <w:rPr>
            <w:rFonts w:ascii="Arial CE" w:eastAsia="Times New Roman" w:hAnsi="Arial CE" w:cs="Arial CE"/>
            <w:sz w:val="20"/>
            <w:szCs w:val="20"/>
            <w:lang w:val="pl-PL" w:eastAsia="pl-PL"/>
          </w:rPr>
          <w:t>osoba badana</w:t>
        </w:r>
      </w:hyperlink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, której zaświadczenie lekarskie dotyczy, nie posiada pełnej zdolności do czynności prawnych, zaświadczenie wydaje się jej przedstawicielowi ustawowemu, który przekazuje je placówce dydaktycznej.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bookmarkStart w:id="5" w:name="P3396A7"/>
      <w:bookmarkEnd w:id="5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5. 1. Od zaświadczenia lekarskiego osobie badanej oraz placówce dydaktycznej przysługuje odwołanie wnoszone na piśmie.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2. Odwołanie wraz z uzasadnieniem wnosi się w terminie 14 dni od dnia otrzymania zaświadczenia lekarskiego, za pośrednictwem lekarza, który wydał zaświadczenie lekarskie, do wojewódzkiego ośrodka medycyny pracy, właściwego ze względu na siedzibę placówki dydaktycznej, a w przypadku gdy odwołanie dotyczy zaświadczenia lekarskiego wydanego w wojewódzkim ośrodku medycyny pracy - do instytutu badawczego w dziedzinie medycyny pracy.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3. Lekarz, za którego pośrednictwem jest wnoszone odwołanie, przekazuje je wraz z dokumentacją badania lekarskiego osoby badanej do podmiotu odwoławczego w terminie 7 dni od dnia otrzymania odwołania.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4. Badanie lekarskie w trybie odwoławczym przeprowadza się w terminie 14 dni od dnia otrzymania odwołania przez podmiot odwoławczy.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5. Do zaświadczeń lekarskich wydanych w trybie odwoławczym stosuje się odpowiednio przepisy § 4.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6. Zaświadczenie lekarskie wydane w trybie odwoławczym jest ostateczne.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bookmarkStart w:id="6" w:name="P3396A8"/>
      <w:bookmarkEnd w:id="6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6. W przypadku gdy zaświadczenie lekarskie wydał lekarz kolejowego ośrodka medycyny pracy, odwołanie od zaświadczenia lekarskiego składa się, za jego pośrednictwem, do Centrum Naukowego Medycyny Kolejowej. Przepisy § 5 stosuje się odpowiednio. </w:t>
      </w:r>
    </w:p>
    <w:p w:rsidR="00637419" w:rsidRPr="00637419" w:rsidRDefault="00637419" w:rsidP="00637419">
      <w:pPr>
        <w:spacing w:before="100" w:beforeAutospacing="1" w:after="0" w:line="240" w:lineRule="auto"/>
        <w:ind w:firstLine="375"/>
        <w:rPr>
          <w:rFonts w:ascii="Arial CE" w:eastAsia="Times New Roman" w:hAnsi="Arial CE" w:cs="Arial CE"/>
          <w:sz w:val="20"/>
          <w:szCs w:val="20"/>
          <w:lang w:val="pl-PL" w:eastAsia="pl-PL"/>
        </w:rPr>
      </w:pPr>
      <w:bookmarkStart w:id="7" w:name="P3396A9"/>
      <w:bookmarkEnd w:id="7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7. Lekarz dokumentuje badanie lekarskie zgodnie z przepisami wydanymi na podstawie art. 11 ust. 4 ustawy z dnia 27 czerwca 1997 r. o służbie medycyny pracy. </w:t>
      </w:r>
    </w:p>
    <w:p w:rsidR="009066BF" w:rsidRPr="00637419" w:rsidRDefault="00637419" w:rsidP="00637419">
      <w:pPr>
        <w:spacing w:before="100" w:beforeAutospacing="1" w:after="100" w:line="240" w:lineRule="auto"/>
        <w:ind w:firstLine="375"/>
        <w:rPr>
          <w:lang w:val="pl-PL"/>
        </w:rPr>
      </w:pPr>
      <w:bookmarkStart w:id="8" w:name="P3396A10"/>
      <w:bookmarkEnd w:id="8"/>
      <w:r w:rsidRPr="00637419">
        <w:rPr>
          <w:rFonts w:ascii="Arial CE" w:eastAsia="Times New Roman" w:hAnsi="Arial CE" w:cs="Arial CE"/>
          <w:sz w:val="20"/>
          <w:szCs w:val="20"/>
          <w:lang w:val="pl-PL" w:eastAsia="pl-PL"/>
        </w:rPr>
        <w:t xml:space="preserve">§ 8. Do przeprowadzania badań lekarskich, rozpoczętych i niezakończonych przed dniem wejścia w życie niniejszego rozporządzenia, stosuje się przepisy dotychczasowe. </w:t>
      </w:r>
    </w:p>
    <w:sectPr w:rsidR="009066BF" w:rsidRPr="00637419" w:rsidSect="00637419">
      <w:pgSz w:w="12240" w:h="15840"/>
      <w:pgMar w:top="993" w:right="7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9"/>
    <w:rsid w:val="00637419"/>
    <w:rsid w:val="009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F44F-4FFC-49F9-8948-941CC7F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37419"/>
    <w:pPr>
      <w:spacing w:after="0" w:line="240" w:lineRule="auto"/>
      <w:jc w:val="center"/>
    </w:pPr>
    <w:rPr>
      <w:rFonts w:ascii="Arial CE" w:eastAsia="Times New Roman" w:hAnsi="Arial CE" w:cs="Arial CE"/>
      <w:b/>
      <w:bCs/>
      <w:color w:val="775675"/>
      <w:sz w:val="27"/>
      <w:szCs w:val="27"/>
      <w:lang w:val="pl-PL" w:eastAsia="pl-PL"/>
    </w:rPr>
  </w:style>
  <w:style w:type="paragraph" w:customStyle="1" w:styleId="dpt">
    <w:name w:val="dpt"/>
    <w:basedOn w:val="Normalny"/>
    <w:rsid w:val="00637419"/>
    <w:pPr>
      <w:spacing w:after="0" w:line="240" w:lineRule="auto"/>
      <w:jc w:val="center"/>
    </w:pPr>
    <w:rPr>
      <w:rFonts w:ascii="Arial CE" w:eastAsia="Times New Roman" w:hAnsi="Arial CE" w:cs="Arial CE"/>
      <w:b/>
      <w:bCs/>
      <w:color w:val="6C546C"/>
      <w:sz w:val="23"/>
      <w:szCs w:val="23"/>
      <w:lang w:val="pl-PL" w:eastAsia="pl-PL"/>
    </w:rPr>
  </w:style>
  <w:style w:type="paragraph" w:customStyle="1" w:styleId="dd">
    <w:name w:val="dd"/>
    <w:basedOn w:val="Normalny"/>
    <w:rsid w:val="00637419"/>
    <w:pPr>
      <w:spacing w:before="100" w:beforeAutospacing="1" w:after="0" w:line="240" w:lineRule="auto"/>
      <w:jc w:val="center"/>
    </w:pPr>
    <w:rPr>
      <w:rFonts w:ascii="Arial CE" w:eastAsia="Times New Roman" w:hAnsi="Arial CE" w:cs="Arial CE"/>
      <w:b/>
      <w:bCs/>
      <w:color w:val="6C546C"/>
      <w:sz w:val="20"/>
      <w:szCs w:val="20"/>
      <w:lang w:val="pl-PL" w:eastAsia="pl-PL"/>
    </w:rPr>
  </w:style>
  <w:style w:type="paragraph" w:customStyle="1" w:styleId="dmo">
    <w:name w:val="dmo"/>
    <w:basedOn w:val="Normalny"/>
    <w:rsid w:val="00637419"/>
    <w:pPr>
      <w:spacing w:before="100" w:beforeAutospacing="1" w:after="0" w:line="240" w:lineRule="auto"/>
      <w:jc w:val="center"/>
    </w:pPr>
    <w:rPr>
      <w:rFonts w:ascii="Arial CE" w:eastAsia="Times New Roman" w:hAnsi="Arial CE" w:cs="Arial CE"/>
      <w:color w:val="657380"/>
      <w:sz w:val="17"/>
      <w:szCs w:val="17"/>
      <w:lang w:val="pl-PL" w:eastAsia="pl-PL"/>
    </w:rPr>
  </w:style>
  <w:style w:type="paragraph" w:customStyle="1" w:styleId="oo">
    <w:name w:val="oo"/>
    <w:basedOn w:val="Normalny"/>
    <w:rsid w:val="00637419"/>
    <w:pPr>
      <w:spacing w:before="150" w:after="150" w:line="240" w:lineRule="auto"/>
      <w:jc w:val="center"/>
    </w:pPr>
    <w:rPr>
      <w:rFonts w:ascii="Arial CE" w:eastAsia="Times New Roman" w:hAnsi="Arial CE" w:cs="Arial CE"/>
      <w:b/>
      <w:bCs/>
      <w:color w:val="775675"/>
      <w:sz w:val="20"/>
      <w:szCs w:val="20"/>
      <w:lang w:val="pl-PL" w:eastAsia="pl-PL"/>
    </w:rPr>
  </w:style>
  <w:style w:type="paragraph" w:customStyle="1" w:styleId="par">
    <w:name w:val="par"/>
    <w:basedOn w:val="Normalny"/>
    <w:rsid w:val="00637419"/>
    <w:pPr>
      <w:spacing w:before="100" w:beforeAutospacing="1" w:after="0" w:line="240" w:lineRule="auto"/>
      <w:ind w:firstLine="375"/>
    </w:pPr>
    <w:rPr>
      <w:rFonts w:ascii="Arial CE" w:eastAsia="Times New Roman" w:hAnsi="Arial CE" w:cs="Arial CE"/>
      <w:sz w:val="20"/>
      <w:szCs w:val="20"/>
      <w:lang w:val="pl-PL" w:eastAsia="pl-PL"/>
    </w:rPr>
  </w:style>
  <w:style w:type="paragraph" w:customStyle="1" w:styleId="ust">
    <w:name w:val="ust"/>
    <w:basedOn w:val="Normalny"/>
    <w:rsid w:val="00637419"/>
    <w:pPr>
      <w:spacing w:before="100" w:beforeAutospacing="1" w:after="0" w:line="240" w:lineRule="auto"/>
      <w:ind w:firstLine="375"/>
    </w:pPr>
    <w:rPr>
      <w:rFonts w:ascii="Arial CE" w:eastAsia="Times New Roman" w:hAnsi="Arial CE" w:cs="Arial CE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3647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wo.vulcan.edu.pl/przegdok.asp?qdatprz=22-04-2017&amp;qplikid=3396" TargetMode="External"/><Relationship Id="rId5" Type="http://schemas.openxmlformats.org/officeDocument/2006/relationships/hyperlink" Target="http://www.prawo.vulcan.edu.pl/przegdok.asp?qdatprz=22-04-2017&amp;qplikid=3396" TargetMode="External"/><Relationship Id="rId4" Type="http://schemas.openxmlformats.org/officeDocument/2006/relationships/hyperlink" Target="http://www.prawo.vulcan.edu.pl/przegdok.asp?qdatprz=22-04-2017&amp;qplikid=33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Kamola-Okońska</dc:creator>
  <cp:keywords/>
  <dc:description/>
  <cp:lastModifiedBy>Joanna Kamola-Okońska</cp:lastModifiedBy>
  <cp:revision>1</cp:revision>
  <dcterms:created xsi:type="dcterms:W3CDTF">2017-04-22T14:06:00Z</dcterms:created>
  <dcterms:modified xsi:type="dcterms:W3CDTF">2017-04-22T14:11:00Z</dcterms:modified>
</cp:coreProperties>
</file>